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5ADF" w14:textId="77777777" w:rsidR="00C24BF8" w:rsidRDefault="00C24BF8">
      <w:pPr>
        <w:pStyle w:val="Heading1"/>
      </w:pPr>
      <w:bookmarkStart w:id="0" w:name="send-for-families-ltd-core-policies-pack"/>
      <w:r>
        <w:rPr>
          <w:b/>
          <w:bCs/>
          <w:noProof/>
        </w:rPr>
        <w:drawing>
          <wp:inline distT="0" distB="0" distL="0" distR="0" wp14:anchorId="56A06E30" wp14:editId="63AFFECD">
            <wp:extent cx="1504950" cy="1504950"/>
            <wp:effectExtent l="0" t="0" r="0" b="0"/>
            <wp:docPr id="1878931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31612" name="Picture 18789316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99B55" w14:textId="2692DEF8" w:rsidR="00BB43D7" w:rsidRDefault="00EC4370">
      <w:pPr>
        <w:pStyle w:val="Heading1"/>
      </w:pPr>
      <w:bookmarkStart w:id="1" w:name="terms-conditions-of-service"/>
      <w:bookmarkEnd w:id="0"/>
      <w:r>
        <w:t>TERMS &amp; CONDITIONS OF SERVICE</w:t>
      </w:r>
    </w:p>
    <w:p w14:paraId="7628F706" w14:textId="77777777" w:rsidR="00BB43D7" w:rsidRDefault="00EC4370">
      <w:pPr>
        <w:pStyle w:val="Heading2"/>
      </w:pPr>
      <w:bookmarkStart w:id="2" w:name="services"/>
      <w:r>
        <w:t>Services</w:t>
      </w:r>
    </w:p>
    <w:p w14:paraId="1C9997A5" w14:textId="77777777" w:rsidR="00BB43D7" w:rsidRDefault="00EC4370">
      <w:pPr>
        <w:pStyle w:val="FirstParagraph"/>
      </w:pPr>
      <w:r>
        <w:t>SEND for Families Ltd provides specialist relational SEND support, tutoring, mentoring, family support, and structured provision for children and young people.</w:t>
      </w:r>
    </w:p>
    <w:p w14:paraId="4B5B4F29" w14:textId="77777777" w:rsidR="00BB43D7" w:rsidRDefault="00EC4370">
      <w:pPr>
        <w:pStyle w:val="BodyText"/>
      </w:pPr>
      <w:r>
        <w:t>Provision may be delivered:</w:t>
      </w:r>
    </w:p>
    <w:p w14:paraId="08F8B6E8" w14:textId="77777777" w:rsidR="00BB43D7" w:rsidRDefault="00EC4370">
      <w:pPr>
        <w:pStyle w:val="Compact"/>
        <w:numPr>
          <w:ilvl w:val="0"/>
          <w:numId w:val="24"/>
        </w:numPr>
      </w:pPr>
      <w:r>
        <w:t>online</w:t>
      </w:r>
    </w:p>
    <w:p w14:paraId="488DA20C" w14:textId="77777777" w:rsidR="00BB43D7" w:rsidRDefault="00EC4370">
      <w:pPr>
        <w:pStyle w:val="Compact"/>
        <w:numPr>
          <w:ilvl w:val="0"/>
          <w:numId w:val="24"/>
        </w:numPr>
      </w:pPr>
      <w:r>
        <w:t>in person</w:t>
      </w:r>
    </w:p>
    <w:p w14:paraId="7C8E6FF0" w14:textId="77777777" w:rsidR="00BB43D7" w:rsidRDefault="00EC4370">
      <w:pPr>
        <w:pStyle w:val="Compact"/>
        <w:numPr>
          <w:ilvl w:val="0"/>
          <w:numId w:val="24"/>
        </w:numPr>
      </w:pPr>
      <w:r>
        <w:t>within residential settings</w:t>
      </w:r>
    </w:p>
    <w:p w14:paraId="7F693242" w14:textId="77777777" w:rsidR="00BB43D7" w:rsidRDefault="00EC4370">
      <w:pPr>
        <w:pStyle w:val="Compact"/>
        <w:numPr>
          <w:ilvl w:val="0"/>
          <w:numId w:val="24"/>
        </w:numPr>
      </w:pPr>
      <w:r>
        <w:t>within family homes</w:t>
      </w:r>
    </w:p>
    <w:p w14:paraId="01BA19B9" w14:textId="77777777" w:rsidR="00BB43D7" w:rsidRDefault="00EC4370">
      <w:pPr>
        <w:pStyle w:val="Compact"/>
        <w:numPr>
          <w:ilvl w:val="0"/>
          <w:numId w:val="24"/>
        </w:numPr>
      </w:pPr>
      <w:r>
        <w:t>within educational settings</w:t>
      </w:r>
    </w:p>
    <w:p w14:paraId="5B79788A" w14:textId="77777777" w:rsidR="00BB43D7" w:rsidRDefault="00000000">
      <w:r>
        <w:pict w14:anchorId="53A355EF">
          <v:rect id="_x0000_i1062" style="width:0;height:1.5pt" o:hralign="center" o:hrstd="t" o:hr="t"/>
        </w:pict>
      </w:r>
    </w:p>
    <w:p w14:paraId="5E123806" w14:textId="77777777" w:rsidR="00BB43D7" w:rsidRDefault="00EC4370">
      <w:pPr>
        <w:pStyle w:val="Heading2"/>
      </w:pPr>
      <w:bookmarkStart w:id="3" w:name="fees"/>
      <w:bookmarkEnd w:id="2"/>
      <w:r>
        <w:t>Fees</w:t>
      </w:r>
    </w:p>
    <w:p w14:paraId="7BFC329D" w14:textId="77777777" w:rsidR="00BB43D7" w:rsidRDefault="00EC4370">
      <w:pPr>
        <w:pStyle w:val="FirstParagraph"/>
      </w:pPr>
      <w:r>
        <w:t>Fees will be confirmed in writing before provision begins.</w:t>
      </w:r>
    </w:p>
    <w:p w14:paraId="152EBB95" w14:textId="77777777" w:rsidR="00BB43D7" w:rsidRDefault="00EC4370">
      <w:pPr>
        <w:pStyle w:val="BodyText"/>
      </w:pPr>
      <w:r>
        <w:t>Unless otherwise agreed:</w:t>
      </w:r>
    </w:p>
    <w:p w14:paraId="3CDEF10F" w14:textId="77777777" w:rsidR="00BB43D7" w:rsidRDefault="00EC4370">
      <w:pPr>
        <w:pStyle w:val="Compact"/>
        <w:numPr>
          <w:ilvl w:val="0"/>
          <w:numId w:val="25"/>
        </w:numPr>
      </w:pPr>
      <w:r>
        <w:t>invoices are payable within 7 days</w:t>
      </w:r>
    </w:p>
    <w:p w14:paraId="4FD2B38D" w14:textId="77777777" w:rsidR="00BB43D7" w:rsidRDefault="00EC4370">
      <w:pPr>
        <w:pStyle w:val="Compact"/>
        <w:numPr>
          <w:ilvl w:val="0"/>
          <w:numId w:val="25"/>
        </w:numPr>
      </w:pPr>
      <w:r>
        <w:t>all fees are exclusive of VAT where applicable</w:t>
      </w:r>
    </w:p>
    <w:p w14:paraId="613EFFAA" w14:textId="77777777" w:rsidR="00BB43D7" w:rsidRDefault="00EC4370">
      <w:pPr>
        <w:pStyle w:val="Compact"/>
        <w:numPr>
          <w:ilvl w:val="0"/>
          <w:numId w:val="25"/>
        </w:numPr>
      </w:pPr>
      <w:r>
        <w:t>late payment may result in suspension of services</w:t>
      </w:r>
    </w:p>
    <w:p w14:paraId="48E2F59F" w14:textId="77777777" w:rsidR="00BB43D7" w:rsidRDefault="00000000">
      <w:r>
        <w:pict w14:anchorId="3C248BD0">
          <v:rect id="_x0000_i1063" style="width:0;height:1.5pt" o:hralign="center" o:hrstd="t" o:hr="t"/>
        </w:pict>
      </w:r>
    </w:p>
    <w:p w14:paraId="45F5BEEF" w14:textId="77777777" w:rsidR="00BB43D7" w:rsidRDefault="00EC4370">
      <w:pPr>
        <w:pStyle w:val="Heading2"/>
      </w:pPr>
      <w:bookmarkStart w:id="4" w:name="cancellations"/>
      <w:bookmarkEnd w:id="3"/>
      <w:r>
        <w:t>Cancellations</w:t>
      </w:r>
    </w:p>
    <w:p w14:paraId="7FAABF6C" w14:textId="77777777" w:rsidR="00BB43D7" w:rsidRDefault="00EC4370">
      <w:pPr>
        <w:pStyle w:val="FirstParagraph"/>
      </w:pPr>
      <w:r>
        <w:t>A minimum of 24 hours’ notice is required for cancellation of individual sessions.</w:t>
      </w:r>
    </w:p>
    <w:p w14:paraId="547E81F4" w14:textId="77777777" w:rsidR="00BB43D7" w:rsidRDefault="00EC4370">
      <w:pPr>
        <w:pStyle w:val="BodyText"/>
      </w:pPr>
      <w:r>
        <w:t>Late cancellations may be charged in full.</w:t>
      </w:r>
    </w:p>
    <w:p w14:paraId="144C40E4" w14:textId="77777777" w:rsidR="00BB43D7" w:rsidRDefault="00EC4370">
      <w:pPr>
        <w:pStyle w:val="BodyText"/>
      </w:pPr>
      <w:r>
        <w:t>For contracted provision, notice periods will be outlined within the Service Level Agreement.</w:t>
      </w:r>
    </w:p>
    <w:p w14:paraId="4C6216BC" w14:textId="77777777" w:rsidR="00BB43D7" w:rsidRDefault="00000000">
      <w:r>
        <w:lastRenderedPageBreak/>
        <w:pict w14:anchorId="61148A2B">
          <v:rect id="_x0000_i1064" style="width:0;height:1.5pt" o:hralign="center" o:hrstd="t" o:hr="t"/>
        </w:pict>
      </w:r>
    </w:p>
    <w:p w14:paraId="6A0F1511" w14:textId="77777777" w:rsidR="00BB43D7" w:rsidRDefault="00EC4370">
      <w:pPr>
        <w:pStyle w:val="Heading2"/>
      </w:pPr>
      <w:bookmarkStart w:id="5" w:name="professional-boundaries"/>
      <w:bookmarkEnd w:id="4"/>
      <w:r>
        <w:t>Professional Boundaries</w:t>
      </w:r>
    </w:p>
    <w:p w14:paraId="5FA82728" w14:textId="77777777" w:rsidR="00BB43D7" w:rsidRDefault="00EC4370">
      <w:pPr>
        <w:pStyle w:val="FirstParagraph"/>
      </w:pPr>
      <w:r>
        <w:t>Practitioners work within agreed professional roles and do not provide clinical therapy, medical advice, or legal representation.</w:t>
      </w:r>
    </w:p>
    <w:p w14:paraId="50F31EA5" w14:textId="77777777" w:rsidR="00BB43D7" w:rsidRDefault="00EC4370">
      <w:pPr>
        <w:pStyle w:val="BodyText"/>
      </w:pPr>
      <w:r>
        <w:t>EHCP guidance is advisory and supportive in nature and does not constitute legal advice.</w:t>
      </w:r>
    </w:p>
    <w:p w14:paraId="19EB761D" w14:textId="77777777" w:rsidR="00BB43D7" w:rsidRDefault="00000000">
      <w:r>
        <w:pict w14:anchorId="6C058B21">
          <v:rect id="_x0000_i1065" style="width:0;height:1.5pt" o:hralign="center" o:hrstd="t" o:hr="t"/>
        </w:pict>
      </w:r>
    </w:p>
    <w:p w14:paraId="791EE5A9" w14:textId="77777777" w:rsidR="00BB43D7" w:rsidRDefault="00EC4370">
      <w:pPr>
        <w:pStyle w:val="Heading2"/>
      </w:pPr>
      <w:bookmarkStart w:id="6" w:name="safeguarding"/>
      <w:bookmarkEnd w:id="5"/>
      <w:r>
        <w:t>Safeguarding</w:t>
      </w:r>
    </w:p>
    <w:p w14:paraId="315D8E44" w14:textId="77777777" w:rsidR="00BB43D7" w:rsidRDefault="00EC4370">
      <w:pPr>
        <w:pStyle w:val="FirstParagraph"/>
      </w:pPr>
      <w:r>
        <w:t>All provision is subject to safeguarding responsibilities.</w:t>
      </w:r>
    </w:p>
    <w:p w14:paraId="6D278292" w14:textId="77777777" w:rsidR="00BB43D7" w:rsidRDefault="00EC4370">
      <w:pPr>
        <w:pStyle w:val="BodyText"/>
      </w:pPr>
      <w:r>
        <w:t>Where safeguarding concerns arise, SEND for Families Ltd reserves the right to share information with relevant professionals and authorities where necessary.</w:t>
      </w:r>
    </w:p>
    <w:p w14:paraId="1FC8F9E7" w14:textId="77777777" w:rsidR="00BB43D7" w:rsidRDefault="00000000">
      <w:r>
        <w:pict w14:anchorId="2BB76654">
          <v:rect id="_x0000_i1066" style="width:0;height:1.5pt" o:hralign="center" o:hrstd="t" o:hr="t"/>
        </w:pict>
      </w:r>
    </w:p>
    <w:p w14:paraId="7C27C4E4" w14:textId="77777777" w:rsidR="00BB43D7" w:rsidRDefault="00EC4370">
      <w:pPr>
        <w:pStyle w:val="Heading2"/>
      </w:pPr>
      <w:bookmarkStart w:id="7" w:name="confidentiality-1"/>
      <w:bookmarkEnd w:id="6"/>
      <w:r>
        <w:t>Confidentiality</w:t>
      </w:r>
    </w:p>
    <w:p w14:paraId="1CB964F4" w14:textId="77777777" w:rsidR="00BB43D7" w:rsidRDefault="00EC4370">
      <w:pPr>
        <w:pStyle w:val="FirstParagraph"/>
      </w:pPr>
      <w:r>
        <w:t>Client information will be treated confidentially unless disclosure is required for safeguarding, legal, or professional reasons.</w:t>
      </w:r>
    </w:p>
    <w:p w14:paraId="0F629D84" w14:textId="77777777" w:rsidR="00BB43D7" w:rsidRDefault="00000000">
      <w:r>
        <w:pict w14:anchorId="35DD6960">
          <v:rect id="_x0000_i1067" style="width:0;height:1.5pt" o:hralign="center" o:hrstd="t" o:hr="t"/>
        </w:pict>
      </w:r>
    </w:p>
    <w:p w14:paraId="55417F42" w14:textId="77777777" w:rsidR="00BB43D7" w:rsidRDefault="00EC4370">
      <w:pPr>
        <w:pStyle w:val="Heading2"/>
      </w:pPr>
      <w:bookmarkStart w:id="8" w:name="liability"/>
      <w:bookmarkEnd w:id="7"/>
      <w:r>
        <w:t>Liability</w:t>
      </w:r>
    </w:p>
    <w:p w14:paraId="4CBBEA8E" w14:textId="77777777" w:rsidR="00BB43D7" w:rsidRDefault="00EC4370">
      <w:pPr>
        <w:pStyle w:val="FirstParagraph"/>
      </w:pPr>
      <w:r>
        <w:t>SEND for Families Ltd will provide services with reasonable skill and care.</w:t>
      </w:r>
    </w:p>
    <w:p w14:paraId="602232C9" w14:textId="77777777" w:rsidR="00BB43D7" w:rsidRDefault="00EC4370">
      <w:pPr>
        <w:pStyle w:val="BodyText"/>
      </w:pPr>
      <w:r>
        <w:t>We do not guarantee specific educational or placement outcomes, as progress depends on multiple factors outside our direct control.</w:t>
      </w:r>
    </w:p>
    <w:p w14:paraId="1B0323C3" w14:textId="77777777" w:rsidR="00BB43D7" w:rsidRDefault="00000000">
      <w:r>
        <w:pict w14:anchorId="0A205EF2">
          <v:rect id="_x0000_i1068" style="width:0;height:1.5pt" o:hralign="center" o:hrstd="t" o:hr="t"/>
        </w:pict>
      </w:r>
    </w:p>
    <w:p w14:paraId="627FA20A" w14:textId="77777777" w:rsidR="00BB43D7" w:rsidRDefault="00EC4370">
      <w:pPr>
        <w:pStyle w:val="Heading2"/>
      </w:pPr>
      <w:bookmarkStart w:id="9" w:name="termination"/>
      <w:bookmarkEnd w:id="8"/>
      <w:r>
        <w:t>Termination</w:t>
      </w:r>
    </w:p>
    <w:p w14:paraId="55784E4C" w14:textId="77777777" w:rsidR="00BB43D7" w:rsidRDefault="00EC4370">
      <w:pPr>
        <w:pStyle w:val="FirstParagraph"/>
      </w:pPr>
      <w:r>
        <w:t>Either party may terminate services in writing in accordance with agreed notice periods.</w:t>
      </w:r>
    </w:p>
    <w:p w14:paraId="03608C56" w14:textId="77777777" w:rsidR="00BB43D7" w:rsidRDefault="00EC4370">
      <w:pPr>
        <w:pStyle w:val="BodyText"/>
      </w:pPr>
      <w:r>
        <w:t>Immediate termination may occur where:</w:t>
      </w:r>
    </w:p>
    <w:p w14:paraId="29F460BD" w14:textId="77777777" w:rsidR="00BB43D7" w:rsidRDefault="00EC4370">
      <w:pPr>
        <w:pStyle w:val="Compact"/>
        <w:numPr>
          <w:ilvl w:val="0"/>
          <w:numId w:val="26"/>
        </w:numPr>
      </w:pPr>
      <w:r>
        <w:t>safeguarding concerns arise</w:t>
      </w:r>
    </w:p>
    <w:p w14:paraId="1F2FED8E" w14:textId="77777777" w:rsidR="00BB43D7" w:rsidRDefault="00EC4370">
      <w:pPr>
        <w:pStyle w:val="Compact"/>
        <w:numPr>
          <w:ilvl w:val="0"/>
          <w:numId w:val="26"/>
        </w:numPr>
      </w:pPr>
      <w:r>
        <w:t>professional boundaries are breached</w:t>
      </w:r>
    </w:p>
    <w:p w14:paraId="0CB93196" w14:textId="77777777" w:rsidR="00BB43D7" w:rsidRDefault="00EC4370">
      <w:pPr>
        <w:pStyle w:val="Compact"/>
        <w:numPr>
          <w:ilvl w:val="0"/>
          <w:numId w:val="26"/>
        </w:numPr>
      </w:pPr>
      <w:r>
        <w:t>fees remain unpaid</w:t>
      </w:r>
    </w:p>
    <w:p w14:paraId="37B00888" w14:textId="77777777" w:rsidR="00BB43D7" w:rsidRDefault="00EC4370">
      <w:pPr>
        <w:pStyle w:val="Compact"/>
        <w:numPr>
          <w:ilvl w:val="0"/>
          <w:numId w:val="26"/>
        </w:numPr>
      </w:pPr>
      <w:r>
        <w:t>continuation of provision is not appropriate</w:t>
      </w:r>
    </w:p>
    <w:p w14:paraId="7744165B" w14:textId="77777777" w:rsidR="00BB43D7" w:rsidRDefault="00000000">
      <w:r>
        <w:pict w14:anchorId="16E71FF1">
          <v:rect id="_x0000_i1069" style="width:0;height:1.5pt" o:hralign="center" o:hrstd="t" o:hr="t"/>
        </w:pict>
      </w:r>
    </w:p>
    <w:p w14:paraId="0A1A8FCE" w14:textId="77777777" w:rsidR="00BB43D7" w:rsidRDefault="00EC4370">
      <w:pPr>
        <w:pStyle w:val="Heading2"/>
      </w:pPr>
      <w:bookmarkStart w:id="10" w:name="governing-law"/>
      <w:bookmarkEnd w:id="9"/>
      <w:r>
        <w:lastRenderedPageBreak/>
        <w:t>Governing Law</w:t>
      </w:r>
    </w:p>
    <w:p w14:paraId="380B974C" w14:textId="77777777" w:rsidR="00BB43D7" w:rsidRDefault="00EC4370">
      <w:pPr>
        <w:pStyle w:val="FirstParagraph"/>
      </w:pPr>
      <w:r>
        <w:t>These terms are governed by the laws of England and Wales.</w:t>
      </w:r>
    </w:p>
    <w:p w14:paraId="2FB800B3" w14:textId="77777777" w:rsidR="00BB43D7" w:rsidRDefault="00000000">
      <w:r>
        <w:pict w14:anchorId="3BC1129A">
          <v:rect id="_x0000_i1070" style="width:0;height:1.5pt" o:hralign="center" o:bullet="t" o:hrstd="t" o:hr="t"/>
        </w:pict>
      </w:r>
    </w:p>
    <w:p w14:paraId="7094FB06" w14:textId="76C5BE90" w:rsidR="00524668" w:rsidRDefault="00524668">
      <w:r>
        <w:t>I have read, understood and will implement these policies.</w:t>
      </w:r>
    </w:p>
    <w:p w14:paraId="40FF8E72" w14:textId="114C2E08" w:rsidR="00BB43D7" w:rsidRDefault="00EC4370">
      <w:pPr>
        <w:pStyle w:val="Heading2"/>
      </w:pPr>
      <w:bookmarkStart w:id="11" w:name="X77c26f10fdf17b8de62ac7aa5f22fca74b11e2e"/>
      <w:bookmarkEnd w:id="10"/>
      <w:r>
        <w:t xml:space="preserve">Signature Section </w:t>
      </w:r>
    </w:p>
    <w:p w14:paraId="270886D4" w14:textId="19CE1018" w:rsidR="00BB43D7" w:rsidRDefault="00EC4370">
      <w:pPr>
        <w:pStyle w:val="FirstParagraph"/>
      </w:pPr>
      <w:r>
        <w:t>Client Name:</w:t>
      </w:r>
    </w:p>
    <w:p w14:paraId="0D293D93" w14:textId="32D7BF2E" w:rsidR="00BB43D7" w:rsidRDefault="00EC4370">
      <w:pPr>
        <w:pStyle w:val="BodyText"/>
      </w:pPr>
      <w:r>
        <w:t>Signature:</w:t>
      </w:r>
    </w:p>
    <w:p w14:paraId="022BD99E" w14:textId="2B4FE382" w:rsidR="00BB43D7" w:rsidRDefault="00EC4370">
      <w:pPr>
        <w:pStyle w:val="BodyText"/>
      </w:pPr>
      <w:r>
        <w:t>Date:</w:t>
      </w:r>
    </w:p>
    <w:p w14:paraId="7CF0A383" w14:textId="6A3DD1B4" w:rsidR="00524668" w:rsidRDefault="00524668">
      <w:pPr>
        <w:pStyle w:val="BodyText"/>
      </w:pPr>
      <w:r>
        <w:t>Reflective Practitioner Name:</w:t>
      </w:r>
    </w:p>
    <w:p w14:paraId="60C6514F" w14:textId="7B4C0C13" w:rsidR="00524668" w:rsidRDefault="00524668">
      <w:pPr>
        <w:pStyle w:val="BodyText"/>
      </w:pPr>
      <w:r>
        <w:t>Signature:</w:t>
      </w:r>
    </w:p>
    <w:p w14:paraId="30E226D5" w14:textId="7225B2F9" w:rsidR="00524668" w:rsidRDefault="00524668">
      <w:pPr>
        <w:pStyle w:val="BodyText"/>
      </w:pPr>
      <w:r>
        <w:t xml:space="preserve">Date: </w:t>
      </w:r>
    </w:p>
    <w:p w14:paraId="67483220" w14:textId="77777777" w:rsidR="00BB43D7" w:rsidRDefault="00EC4370">
      <w:pPr>
        <w:pStyle w:val="BodyText"/>
      </w:pPr>
      <w:r>
        <w:t>SEND for Families Ltd Representative:</w:t>
      </w:r>
    </w:p>
    <w:p w14:paraId="57B7EA84" w14:textId="328E9D0F" w:rsidR="00BB43D7" w:rsidRDefault="00EC4370">
      <w:pPr>
        <w:pStyle w:val="BodyText"/>
      </w:pPr>
      <w:r>
        <w:t xml:space="preserve">Name: </w:t>
      </w:r>
    </w:p>
    <w:p w14:paraId="45ACA238" w14:textId="242C0C1D" w:rsidR="00BB43D7" w:rsidRDefault="00EC4370">
      <w:pPr>
        <w:pStyle w:val="BodyText"/>
      </w:pPr>
      <w:r>
        <w:t xml:space="preserve">Signature: </w:t>
      </w:r>
    </w:p>
    <w:p w14:paraId="0AD81723" w14:textId="48D968D6" w:rsidR="00BB43D7" w:rsidRDefault="00EC4370">
      <w:pPr>
        <w:pStyle w:val="BodyText"/>
      </w:pPr>
      <w:r>
        <w:t xml:space="preserve">Date: </w:t>
      </w:r>
      <w:bookmarkEnd w:id="1"/>
      <w:bookmarkEnd w:id="11"/>
    </w:p>
    <w:sectPr w:rsidR="00BB43D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6A06E30"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F50460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DD0528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87018787">
    <w:abstractNumId w:val="0"/>
  </w:num>
  <w:num w:numId="2" w16cid:durableId="757290501">
    <w:abstractNumId w:val="1"/>
  </w:num>
  <w:num w:numId="3" w16cid:durableId="1224171068">
    <w:abstractNumId w:val="1"/>
  </w:num>
  <w:num w:numId="4" w16cid:durableId="565261427">
    <w:abstractNumId w:val="1"/>
  </w:num>
  <w:num w:numId="5" w16cid:durableId="511188833">
    <w:abstractNumId w:val="1"/>
  </w:num>
  <w:num w:numId="6" w16cid:durableId="805314715">
    <w:abstractNumId w:val="1"/>
  </w:num>
  <w:num w:numId="7" w16cid:durableId="2092775534">
    <w:abstractNumId w:val="1"/>
  </w:num>
  <w:num w:numId="8" w16cid:durableId="1675380944">
    <w:abstractNumId w:val="1"/>
  </w:num>
  <w:num w:numId="9" w16cid:durableId="828443676">
    <w:abstractNumId w:val="1"/>
  </w:num>
  <w:num w:numId="10" w16cid:durableId="1826316087">
    <w:abstractNumId w:val="1"/>
  </w:num>
  <w:num w:numId="11" w16cid:durableId="77598388">
    <w:abstractNumId w:val="1"/>
  </w:num>
  <w:num w:numId="12" w16cid:durableId="1584290509">
    <w:abstractNumId w:val="1"/>
  </w:num>
  <w:num w:numId="13" w16cid:durableId="2121140720">
    <w:abstractNumId w:val="1"/>
  </w:num>
  <w:num w:numId="14" w16cid:durableId="269243924">
    <w:abstractNumId w:val="1"/>
  </w:num>
  <w:num w:numId="15" w16cid:durableId="1207256406">
    <w:abstractNumId w:val="1"/>
  </w:num>
  <w:num w:numId="16" w16cid:durableId="1210916086">
    <w:abstractNumId w:val="1"/>
  </w:num>
  <w:num w:numId="17" w16cid:durableId="1412240272">
    <w:abstractNumId w:val="1"/>
  </w:num>
  <w:num w:numId="18" w16cid:durableId="1522476004">
    <w:abstractNumId w:val="1"/>
  </w:num>
  <w:num w:numId="19" w16cid:durableId="1321348178">
    <w:abstractNumId w:val="1"/>
  </w:num>
  <w:num w:numId="20" w16cid:durableId="1382944048">
    <w:abstractNumId w:val="1"/>
  </w:num>
  <w:num w:numId="21" w16cid:durableId="1794056401">
    <w:abstractNumId w:val="1"/>
  </w:num>
  <w:num w:numId="22" w16cid:durableId="1535390484">
    <w:abstractNumId w:val="1"/>
  </w:num>
  <w:num w:numId="23" w16cid:durableId="1929271184">
    <w:abstractNumId w:val="1"/>
  </w:num>
  <w:num w:numId="24" w16cid:durableId="498276258">
    <w:abstractNumId w:val="1"/>
  </w:num>
  <w:num w:numId="25" w16cid:durableId="299960468">
    <w:abstractNumId w:val="1"/>
  </w:num>
  <w:num w:numId="26" w16cid:durableId="167722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D7"/>
    <w:rsid w:val="00126660"/>
    <w:rsid w:val="00160385"/>
    <w:rsid w:val="00524668"/>
    <w:rsid w:val="005D6B8C"/>
    <w:rsid w:val="0075672F"/>
    <w:rsid w:val="008027BD"/>
    <w:rsid w:val="00B528B6"/>
    <w:rsid w:val="00BB43D7"/>
    <w:rsid w:val="00C00A55"/>
    <w:rsid w:val="00C24BF8"/>
    <w:rsid w:val="00D832BA"/>
    <w:rsid w:val="00E83BD3"/>
    <w:rsid w:val="00EC4370"/>
    <w:rsid w:val="00F5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3D25"/>
  <w15:docId w15:val="{32124580-51B6-4828-8795-686F3278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1912</Characters>
  <Application>Microsoft Office Word</Application>
  <DocSecurity>0</DocSecurity>
  <Lines>65</Lines>
  <Paragraphs>59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Belchem</dc:creator>
  <cp:keywords/>
  <cp:lastModifiedBy>Michelle fry</cp:lastModifiedBy>
  <cp:revision>3</cp:revision>
  <dcterms:created xsi:type="dcterms:W3CDTF">2026-04-28T07:26:00Z</dcterms:created>
  <dcterms:modified xsi:type="dcterms:W3CDTF">2026-04-28T13:13:00Z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5269d689-49d0-418b-9375-d501a4faffdd</vt:lpwstr>
  </property>
</Properties>
</file>